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A" w:rsidRDefault="0001561A" w:rsidP="0001561A">
      <w:pPr>
        <w:keepNext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РЕСПУБЛИКА МОРДОВИЯ</w:t>
      </w:r>
    </w:p>
    <w:p w:rsidR="0001561A" w:rsidRDefault="0001561A" w:rsidP="0001561A">
      <w:pPr>
        <w:keepNext/>
        <w:ind w:left="-284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АДМИНИ</w:t>
      </w:r>
      <w:proofErr w:type="gramStart"/>
      <w:r>
        <w:rPr>
          <w:rFonts w:ascii="Trebuchet MS" w:eastAsia="Times New Roman" w:hAnsi="Trebuchet MS" w:cs="Times New Roman"/>
          <w:b/>
          <w:sz w:val="28"/>
          <w:szCs w:val="28"/>
          <w:lang w:val="en-US" w:eastAsia="ru-RU"/>
        </w:rPr>
        <w:t>C</w:t>
      </w:r>
      <w:proofErr w:type="gramEnd"/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ТРАЦИЯ КОВЫЛКИНСКОГО МУНИЦИПАЛЬНОГО РАЙОНА</w:t>
      </w:r>
    </w:p>
    <w:p w:rsidR="0001561A" w:rsidRDefault="0001561A" w:rsidP="0001561A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1561A" w:rsidTr="0001561A"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561A" w:rsidRDefault="0001561A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61A" w:rsidRDefault="0001561A" w:rsidP="0001561A">
      <w:pPr>
        <w:jc w:val="center"/>
        <w:rPr>
          <w:rFonts w:ascii="Arial" w:eastAsia="Times New Roman" w:hAnsi="Arial" w:cs="Arial"/>
          <w:b/>
          <w:bCs/>
          <w:sz w:val="40"/>
          <w:lang w:eastAsia="ru-RU"/>
        </w:rPr>
      </w:pPr>
      <w:r>
        <w:rPr>
          <w:rFonts w:ascii="Arial" w:eastAsia="Times New Roman" w:hAnsi="Arial" w:cs="Arial"/>
          <w:b/>
          <w:bCs/>
          <w:sz w:val="40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0"/>
        <w:gridCol w:w="1671"/>
      </w:tblGrid>
      <w:tr w:rsidR="0001561A" w:rsidTr="0001561A">
        <w:trPr>
          <w:trHeight w:val="303"/>
        </w:trPr>
        <w:tc>
          <w:tcPr>
            <w:tcW w:w="7900" w:type="dxa"/>
          </w:tcPr>
          <w:p w:rsidR="0001561A" w:rsidRDefault="0001561A">
            <w:pPr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561A" w:rsidRDefault="0001561A" w:rsidP="0001561A">
            <w:pPr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«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03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» </w:t>
            </w:r>
            <w:r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01561A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02</w:t>
            </w:r>
            <w:r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2022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1671" w:type="dxa"/>
            <w:hideMark/>
          </w:tcPr>
          <w:p w:rsidR="0001561A" w:rsidRDefault="0001561A" w:rsidP="0001561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№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123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:rsidR="0001561A" w:rsidRDefault="0001561A" w:rsidP="0001561A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01561A" w:rsidRPr="00A93DB3" w:rsidRDefault="0001561A" w:rsidP="0001561A">
      <w:pPr>
        <w:jc w:val="center"/>
        <w:rPr>
          <w:rFonts w:cs="Times New Roman"/>
          <w:b/>
        </w:rPr>
      </w:pPr>
      <w:r w:rsidRPr="00A93DB3">
        <w:rPr>
          <w:rFonts w:cs="Times New Roman"/>
          <w:b/>
        </w:rPr>
        <w:t xml:space="preserve">О внесении изменений в муниципальную программу </w:t>
      </w:r>
    </w:p>
    <w:p w:rsidR="0001561A" w:rsidRPr="00A93DB3" w:rsidRDefault="0001561A" w:rsidP="0001561A">
      <w:pPr>
        <w:jc w:val="center"/>
        <w:rPr>
          <w:rFonts w:cs="Times New Roman"/>
          <w:b/>
        </w:rPr>
      </w:pPr>
      <w:r w:rsidRPr="00A93DB3">
        <w:rPr>
          <w:rFonts w:cs="Times New Roman"/>
          <w:b/>
        </w:rPr>
        <w:t xml:space="preserve">«Обеспечение жильем молодых семей </w:t>
      </w:r>
      <w:proofErr w:type="spellStart"/>
      <w:r w:rsidRPr="00A93DB3">
        <w:rPr>
          <w:rFonts w:cs="Times New Roman"/>
          <w:b/>
        </w:rPr>
        <w:t>Ковылкинского</w:t>
      </w:r>
      <w:proofErr w:type="spellEnd"/>
      <w:r w:rsidRPr="00A93DB3">
        <w:rPr>
          <w:rFonts w:cs="Times New Roman"/>
          <w:b/>
        </w:rPr>
        <w:t xml:space="preserve"> </w:t>
      </w:r>
    </w:p>
    <w:p w:rsidR="0001561A" w:rsidRPr="00A93DB3" w:rsidRDefault="0001561A" w:rsidP="0001561A">
      <w:pPr>
        <w:jc w:val="center"/>
        <w:rPr>
          <w:rFonts w:cs="Times New Roman"/>
          <w:b/>
        </w:rPr>
      </w:pPr>
      <w:r w:rsidRPr="00A93DB3">
        <w:rPr>
          <w:rFonts w:cs="Times New Roman"/>
          <w:b/>
        </w:rPr>
        <w:t>муниципального района на 2018-2025 годы»</w:t>
      </w:r>
    </w:p>
    <w:p w:rsidR="0001561A" w:rsidRPr="00A93DB3" w:rsidRDefault="0001561A" w:rsidP="0001561A">
      <w:pPr>
        <w:rPr>
          <w:rFonts w:eastAsia="Times New Roman" w:cs="Times New Roman"/>
          <w:b/>
          <w:lang w:eastAsia="ru-RU"/>
        </w:rPr>
      </w:pPr>
    </w:p>
    <w:p w:rsidR="0001561A" w:rsidRPr="00A93DB3" w:rsidRDefault="0001561A" w:rsidP="0001561A">
      <w:pPr>
        <w:jc w:val="both"/>
        <w:rPr>
          <w:rFonts w:eastAsia="Times New Roman" w:cs="Times New Roman"/>
          <w:b/>
          <w:lang w:eastAsia="ru-RU"/>
        </w:rPr>
      </w:pPr>
      <w:r w:rsidRPr="00A93DB3">
        <w:rPr>
          <w:rFonts w:eastAsia="Times New Roman" w:cs="Times New Roman"/>
          <w:lang w:eastAsia="ru-RU"/>
        </w:rPr>
        <w:t xml:space="preserve">          </w:t>
      </w:r>
      <w:proofErr w:type="gramStart"/>
      <w:r w:rsidRPr="00A93DB3">
        <w:rPr>
          <w:rFonts w:eastAsia="Times New Roman" w:cs="Times New Roman"/>
          <w:lang w:eastAsia="ru-RU"/>
        </w:rPr>
        <w:t xml:space="preserve">Во исполнение постановления </w:t>
      </w:r>
      <w:r w:rsidRPr="00A93DB3">
        <w:rPr>
          <w:rFonts w:cs="Times New Roman"/>
        </w:rPr>
        <w:t xml:space="preserve">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A93DB3">
          <w:rPr>
            <w:rFonts w:cs="Times New Roman"/>
          </w:rPr>
          <w:t>2017 г</w:t>
        </w:r>
      </w:smartTag>
      <w:r w:rsidRPr="00A93DB3">
        <w:rPr>
          <w:rFonts w:cs="Times New Roman"/>
        </w:rPr>
        <w:t>. № 1710  "</w:t>
      </w:r>
      <w:r w:rsidRPr="00A93DB3">
        <w:rPr>
          <w:rFonts w:cs="Times New Roman"/>
          <w:color w:val="000000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Pr="00A93DB3">
        <w:rPr>
          <w:rFonts w:cs="Times New Roman"/>
        </w:rPr>
        <w:t xml:space="preserve">", </w:t>
      </w:r>
      <w:r w:rsidRPr="00A93DB3">
        <w:rPr>
          <w:rFonts w:cs="Times New Roman"/>
          <w:color w:val="000000"/>
        </w:rPr>
        <w:t xml:space="preserve">Постановление Правительства </w:t>
      </w:r>
      <w:r w:rsidRPr="00A93DB3">
        <w:rPr>
          <w:rFonts w:cs="Times New Roman"/>
        </w:rPr>
        <w:t>Российской Федерации</w:t>
      </w:r>
      <w:r w:rsidRPr="00A93DB3">
        <w:rPr>
          <w:rFonts w:cs="Times New Roman"/>
          <w:color w:val="000000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A93DB3">
          <w:rPr>
            <w:rFonts w:cs="Times New Roman"/>
            <w:color w:val="000000"/>
          </w:rPr>
          <w:t>2010 г</w:t>
        </w:r>
      </w:smartTag>
      <w:r w:rsidRPr="00A93DB3">
        <w:rPr>
          <w:rFonts w:cs="Times New Roman"/>
          <w:color w:val="000000"/>
        </w:rPr>
        <w:t>. N 1050</w:t>
      </w:r>
      <w:r w:rsidR="00A93DB3">
        <w:rPr>
          <w:rFonts w:cs="Times New Roman"/>
          <w:color w:val="000000"/>
        </w:rPr>
        <w:t xml:space="preserve"> </w:t>
      </w:r>
      <w:r w:rsidRPr="00A93DB3">
        <w:rPr>
          <w:rFonts w:cs="Times New Roman"/>
          <w:color w:val="000000"/>
        </w:rPr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</w:t>
      </w:r>
      <w:proofErr w:type="gramEnd"/>
      <w:r w:rsidRPr="00A93DB3">
        <w:rPr>
          <w:rFonts w:cs="Times New Roman"/>
          <w:color w:val="000000"/>
        </w:rPr>
        <w:t xml:space="preserve"> </w:t>
      </w:r>
      <w:proofErr w:type="gramStart"/>
      <w:r w:rsidRPr="00A93DB3">
        <w:rPr>
          <w:rFonts w:cs="Times New Roman"/>
          <w:color w:val="000000"/>
        </w:rPr>
        <w:t xml:space="preserve">Правительства Российской Федерации от 15 июля 2020 года №1042 «О внесении изменений в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A93DB3">
        <w:rPr>
          <w:rFonts w:cs="Times New Roman"/>
        </w:rPr>
        <w:t xml:space="preserve">и основании постановления Правительства Российской  Федерации  от  14  августа  2018  г. N 940 "О внесении изменений в некоторые акты Правительства Российской Федерации" </w:t>
      </w:r>
      <w:r w:rsidRPr="00A93DB3">
        <w:rPr>
          <w:rFonts w:eastAsia="Times New Roman" w:cs="Times New Roman"/>
          <w:lang w:eastAsia="ru-RU"/>
        </w:rPr>
        <w:t xml:space="preserve">администрация </w:t>
      </w:r>
      <w:proofErr w:type="spellStart"/>
      <w:r w:rsidRPr="00A93DB3">
        <w:rPr>
          <w:rFonts w:eastAsia="Times New Roman" w:cs="Times New Roman"/>
          <w:lang w:eastAsia="ru-RU"/>
        </w:rPr>
        <w:t>Ковылкинского</w:t>
      </w:r>
      <w:proofErr w:type="spellEnd"/>
      <w:r w:rsidRPr="00A93DB3">
        <w:rPr>
          <w:rFonts w:eastAsia="Times New Roman" w:cs="Times New Roman"/>
          <w:lang w:eastAsia="ru-RU"/>
        </w:rPr>
        <w:t xml:space="preserve">  муниципального  района  Республики  Мордовия</w:t>
      </w:r>
      <w:proofErr w:type="gramEnd"/>
      <w:r w:rsidRPr="00A93DB3">
        <w:rPr>
          <w:rFonts w:eastAsia="Times New Roman" w:cs="Times New Roman"/>
          <w:lang w:eastAsia="ru-RU"/>
        </w:rPr>
        <w:t xml:space="preserve"> </w:t>
      </w:r>
      <w:proofErr w:type="gramStart"/>
      <w:r w:rsidRPr="00A93DB3">
        <w:rPr>
          <w:rFonts w:eastAsia="Times New Roman" w:cs="Times New Roman"/>
          <w:b/>
          <w:lang w:eastAsia="ru-RU"/>
        </w:rPr>
        <w:t>п</w:t>
      </w:r>
      <w:proofErr w:type="gramEnd"/>
      <w:r w:rsidRPr="00A93DB3">
        <w:rPr>
          <w:rFonts w:eastAsia="Times New Roman" w:cs="Times New Roman"/>
          <w:b/>
          <w:lang w:eastAsia="ru-RU"/>
        </w:rPr>
        <w:t xml:space="preserve"> о с т а н о в л я е т:</w:t>
      </w:r>
    </w:p>
    <w:p w:rsidR="0001561A" w:rsidRPr="00A93DB3" w:rsidRDefault="0001561A" w:rsidP="0001561A">
      <w:pPr>
        <w:jc w:val="both"/>
        <w:rPr>
          <w:rFonts w:cs="Times New Roman"/>
        </w:rPr>
      </w:pPr>
      <w:r w:rsidRPr="00A93DB3">
        <w:rPr>
          <w:rFonts w:cs="Times New Roman"/>
        </w:rPr>
        <w:t xml:space="preserve">        1. </w:t>
      </w:r>
      <w:proofErr w:type="gramStart"/>
      <w:r w:rsidRPr="00A93DB3">
        <w:rPr>
          <w:rFonts w:eastAsia="Times New Roman" w:cs="Times New Roman"/>
          <w:lang w:eastAsia="ru-RU"/>
        </w:rPr>
        <w:t xml:space="preserve">Внести в паспорт </w:t>
      </w:r>
      <w:r w:rsidRPr="00A93DB3">
        <w:rPr>
          <w:rFonts w:cs="Times New Roman"/>
        </w:rPr>
        <w:t xml:space="preserve">муниципальной программы "Обеспечение жильем молодых семей </w:t>
      </w:r>
      <w:proofErr w:type="spellStart"/>
      <w:r w:rsidRPr="00A93DB3">
        <w:rPr>
          <w:rFonts w:cs="Times New Roman"/>
        </w:rPr>
        <w:t>Ковылкинского</w:t>
      </w:r>
      <w:proofErr w:type="spellEnd"/>
      <w:r w:rsidRPr="00A93DB3">
        <w:rPr>
          <w:rFonts w:cs="Times New Roman"/>
        </w:rPr>
        <w:t xml:space="preserve"> муниципального района на 2018-2025 годы"</w:t>
      </w:r>
      <w:r w:rsidR="00A93DB3" w:rsidRPr="00A93DB3">
        <w:rPr>
          <w:rFonts w:cs="Times New Roman"/>
        </w:rPr>
        <w:t xml:space="preserve"> (далее – Программа), утвержденную</w:t>
      </w:r>
      <w:r w:rsidRPr="00A93DB3">
        <w:rPr>
          <w:rFonts w:cs="Times New Roman"/>
        </w:rPr>
        <w:t xml:space="preserve"> постановлением администрации </w:t>
      </w:r>
      <w:proofErr w:type="spellStart"/>
      <w:r w:rsidRPr="00A93DB3">
        <w:rPr>
          <w:rFonts w:cs="Times New Roman"/>
        </w:rPr>
        <w:t>Ковылкинского</w:t>
      </w:r>
      <w:proofErr w:type="spellEnd"/>
      <w:r w:rsidRPr="00A93DB3">
        <w:rPr>
          <w:rFonts w:cs="Times New Roman"/>
        </w:rPr>
        <w:t xml:space="preserve"> муниципального района Республики Мордовии от 12 октября 2018 г</w:t>
      </w:r>
      <w:r w:rsidR="00A93DB3" w:rsidRPr="00A93DB3">
        <w:rPr>
          <w:rFonts w:cs="Times New Roman"/>
        </w:rPr>
        <w:t>ода</w:t>
      </w:r>
      <w:r w:rsidRPr="00A93DB3">
        <w:rPr>
          <w:rFonts w:cs="Times New Roman"/>
        </w:rPr>
        <w:t xml:space="preserve"> № 1162 «Об утверждении муниципальной программы «Обеспечение жильем молодых семей </w:t>
      </w:r>
      <w:proofErr w:type="spellStart"/>
      <w:r w:rsidRPr="00A93DB3">
        <w:rPr>
          <w:rFonts w:cs="Times New Roman"/>
        </w:rPr>
        <w:t>Ковылкинского</w:t>
      </w:r>
      <w:proofErr w:type="spellEnd"/>
      <w:r w:rsidRPr="00A93DB3">
        <w:rPr>
          <w:rFonts w:cs="Times New Roman"/>
        </w:rPr>
        <w:t xml:space="preserve"> муниципального района на 2018-2025 годы»</w:t>
      </w:r>
      <w:r w:rsidR="00A93DB3" w:rsidRPr="00A93DB3">
        <w:rPr>
          <w:rFonts w:cs="Times New Roman"/>
        </w:rPr>
        <w:t xml:space="preserve"> (с изменениями, внесенными постановлением Администрации </w:t>
      </w:r>
      <w:proofErr w:type="spellStart"/>
      <w:r w:rsidR="00A93DB3" w:rsidRPr="00A93DB3">
        <w:rPr>
          <w:rFonts w:cs="Times New Roman"/>
        </w:rPr>
        <w:t>Ковылкинского</w:t>
      </w:r>
      <w:proofErr w:type="spellEnd"/>
      <w:r w:rsidR="00A93DB3" w:rsidRPr="00A93DB3">
        <w:rPr>
          <w:rFonts w:cs="Times New Roman"/>
        </w:rPr>
        <w:t xml:space="preserve"> муниципального района Республики Мордовия от 21 октября 2020 года</w:t>
      </w:r>
      <w:proofErr w:type="gramEnd"/>
      <w:r w:rsidR="00A93DB3" w:rsidRPr="00A93DB3">
        <w:rPr>
          <w:rFonts w:cs="Times New Roman"/>
        </w:rPr>
        <w:t xml:space="preserve"> № </w:t>
      </w:r>
      <w:proofErr w:type="gramStart"/>
      <w:r w:rsidR="00A93DB3" w:rsidRPr="00A93DB3">
        <w:rPr>
          <w:rFonts w:cs="Times New Roman"/>
        </w:rPr>
        <w:t>1025, от 23 декабря 2020 года № 1318)</w:t>
      </w:r>
      <w:r w:rsidRPr="00A93DB3">
        <w:rPr>
          <w:rFonts w:cs="Times New Roman"/>
        </w:rPr>
        <w:t>, следующие изменения:</w:t>
      </w:r>
      <w:proofErr w:type="gramEnd"/>
    </w:p>
    <w:p w:rsidR="00A93DB3" w:rsidRPr="00A93DB3" w:rsidRDefault="00A93DB3" w:rsidP="0001561A">
      <w:pPr>
        <w:jc w:val="both"/>
        <w:rPr>
          <w:rFonts w:cs="Times New Roman"/>
        </w:rPr>
      </w:pPr>
      <w:r w:rsidRPr="00A93DB3">
        <w:rPr>
          <w:rFonts w:cs="Times New Roman"/>
        </w:rPr>
        <w:t xml:space="preserve">        1) в паспорте Программы:</w:t>
      </w:r>
    </w:p>
    <w:p w:rsidR="00A93DB3" w:rsidRPr="00A93DB3" w:rsidRDefault="00A93DB3" w:rsidP="0001561A">
      <w:pPr>
        <w:jc w:val="both"/>
        <w:rPr>
          <w:rFonts w:cs="Times New Roman"/>
        </w:rPr>
      </w:pPr>
      <w:r w:rsidRPr="00A93DB3">
        <w:rPr>
          <w:rFonts w:cs="Times New Roman"/>
        </w:rPr>
        <w:t xml:space="preserve">        в позиции «Соисполнители муниципальной программы» слова «Министерство спорта, молодежной политики и туризма Республики Мордовия» заменить словами «Министерство спорта и молодежной политики Республики Мордовия»; </w:t>
      </w:r>
    </w:p>
    <w:p w:rsidR="0001561A" w:rsidRDefault="0001561A" w:rsidP="0001561A">
      <w:pPr>
        <w:jc w:val="both"/>
        <w:rPr>
          <w:rFonts w:cs="Times New Roman"/>
          <w:sz w:val="27"/>
          <w:szCs w:val="27"/>
        </w:rPr>
      </w:pPr>
      <w:r w:rsidRPr="00A93DB3">
        <w:rPr>
          <w:rFonts w:cs="Times New Roman"/>
        </w:rPr>
        <w:t xml:space="preserve">        позицию «</w:t>
      </w:r>
      <w:r w:rsidRPr="00A93DB3">
        <w:rPr>
          <w:rFonts w:eastAsia="Times New Roman" w:cs="Times New Roman"/>
          <w:lang w:eastAsia="ar-SA"/>
        </w:rPr>
        <w:t>Целевые показатели (индикаторы) эффективности реализации муниципальной программы» изложить в следующей редакции</w:t>
      </w:r>
      <w:r>
        <w:rPr>
          <w:rFonts w:eastAsia="Times New Roman" w:cs="Times New Roman"/>
          <w:sz w:val="27"/>
          <w:szCs w:val="27"/>
          <w:lang w:eastAsia="ar-SA"/>
        </w:rPr>
        <w:t>:</w:t>
      </w:r>
    </w:p>
    <w:p w:rsidR="0001561A" w:rsidRDefault="0001561A" w:rsidP="0001561A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«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16"/>
        <w:gridCol w:w="5719"/>
      </w:tblGrid>
      <w:tr w:rsidR="0001561A" w:rsidTr="0001561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A" w:rsidRDefault="0001561A">
            <w:pPr>
              <w:autoSpaceDE w:val="0"/>
              <w:snapToGrid w:val="0"/>
              <w:spacing w:line="276" w:lineRule="auto"/>
              <w:rPr>
                <w:rFonts w:cs="Times New Roman"/>
                <w:b/>
                <w:bCs/>
                <w:color w:val="26282F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eastAsia="ar-SA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A" w:rsidRDefault="0001561A">
            <w:pPr>
              <w:autoSpaceDE w:val="0"/>
              <w:snapToGrid w:val="0"/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местного бюджета. Общее количество молодых семей, улучшивших жилищные условия за счет </w:t>
            </w:r>
            <w:r>
              <w:rPr>
                <w:sz w:val="27"/>
                <w:szCs w:val="27"/>
              </w:rPr>
              <w:lastRenderedPageBreak/>
              <w:t>реализации муниципальной программы, в период с 2015-202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годы составило - 1</w:t>
            </w:r>
            <w:r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 xml:space="preserve"> молодых семей,  в период с 2018 по 2025 годы планируется - 518 молодых семей, в том числе по годам: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- 18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-  6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- 19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- 3</w:t>
            </w:r>
            <w:r>
              <w:rPr>
                <w:sz w:val="27"/>
                <w:szCs w:val="27"/>
              </w:rPr>
              <w:t xml:space="preserve"> сем</w:t>
            </w:r>
            <w:r>
              <w:rPr>
                <w:sz w:val="27"/>
                <w:szCs w:val="27"/>
              </w:rPr>
              <w:t>ьи</w:t>
            </w:r>
            <w:r>
              <w:rPr>
                <w:sz w:val="27"/>
                <w:szCs w:val="27"/>
              </w:rPr>
              <w:t>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- 100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- 100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- 100 семей;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- 172</w:t>
            </w:r>
            <w:r>
              <w:rPr>
                <w:sz w:val="27"/>
                <w:szCs w:val="27"/>
              </w:rPr>
              <w:t xml:space="preserve"> сем</w:t>
            </w:r>
            <w:r>
              <w:rPr>
                <w:sz w:val="27"/>
                <w:szCs w:val="27"/>
              </w:rPr>
              <w:t>ьи</w:t>
            </w:r>
            <w:r>
              <w:rPr>
                <w:sz w:val="27"/>
                <w:szCs w:val="27"/>
              </w:rPr>
              <w:t>.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01561A" w:rsidTr="0001561A"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561A" w:rsidRDefault="0001561A">
            <w:pPr>
              <w:spacing w:line="276" w:lineRule="auto"/>
              <w:jc w:val="right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lastRenderedPageBreak/>
              <w:t xml:space="preserve">»      </w:t>
            </w:r>
          </w:p>
          <w:p w:rsidR="0001561A" w:rsidRDefault="0001561A">
            <w:pPr>
              <w:spacing w:line="276" w:lineRule="auto"/>
              <w:jc w:val="both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 xml:space="preserve">      позицию «</w:t>
            </w:r>
            <w:r>
              <w:rPr>
                <w:bCs/>
                <w:color w:val="26282F"/>
                <w:sz w:val="27"/>
                <w:szCs w:val="27"/>
              </w:rPr>
              <w:t xml:space="preserve">Ресурсное обеспечение муниципальной программы» </w:t>
            </w:r>
            <w:r>
              <w:rPr>
                <w:rFonts w:eastAsia="Times New Roman"/>
                <w:sz w:val="27"/>
                <w:szCs w:val="27"/>
                <w:lang w:eastAsia="ar-SA"/>
              </w:rPr>
              <w:t>изложить в следующей редакции:</w:t>
            </w:r>
          </w:p>
          <w:p w:rsidR="0001561A" w:rsidRDefault="0001561A">
            <w:pPr>
              <w:spacing w:line="276" w:lineRule="auto"/>
              <w:jc w:val="both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«</w:t>
            </w:r>
          </w:p>
        </w:tc>
      </w:tr>
      <w:tr w:rsidR="0001561A" w:rsidTr="0001561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A" w:rsidRDefault="0001561A">
            <w:pPr>
              <w:autoSpaceDE w:val="0"/>
              <w:snapToGrid w:val="0"/>
              <w:spacing w:line="276" w:lineRule="auto"/>
              <w:rPr>
                <w:rFonts w:cs="Times New Roman"/>
                <w:b/>
                <w:bCs/>
                <w:color w:val="26282F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26282F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A" w:rsidRDefault="0001561A">
            <w:pPr>
              <w:autoSpaceDE w:val="0"/>
              <w:snapToGrid w:val="0"/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A" w:rsidRDefault="0001561A">
            <w:pPr>
              <w:spacing w:line="276" w:lineRule="auto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 xml:space="preserve">При реализации настоящей муниципальной программы предусматривается привлечение средств федерального, республиканского и местного бюджетов, внебюджетных средств.  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Общий объем финансирования муниципальной программы – </w:t>
            </w:r>
            <w:r>
              <w:rPr>
                <w:sz w:val="27"/>
                <w:szCs w:val="27"/>
              </w:rPr>
              <w:t>2 124 780,6</w:t>
            </w:r>
            <w:r>
              <w:rPr>
                <w:sz w:val="27"/>
                <w:szCs w:val="27"/>
              </w:rPr>
              <w:t xml:space="preserve">  тыс. рублей, в том числе: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2018 год – 26 091,0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2019 год – 10 515,8 тыс. рублей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2020 год – 36 728,3 тыс. рублей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2021 год – </w:t>
            </w:r>
            <w:r>
              <w:rPr>
                <w:sz w:val="27"/>
                <w:szCs w:val="27"/>
              </w:rPr>
              <w:t>5 556,8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2022 год – 193 488,7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2023 год – 193 488,7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2024 год – 193 488,7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2025 год – </w:t>
            </w:r>
            <w:r>
              <w:rPr>
                <w:sz w:val="27"/>
                <w:szCs w:val="27"/>
              </w:rPr>
              <w:t>403 032,3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бюджетных ассигнований федерального бюджета  - </w:t>
            </w:r>
            <w:r>
              <w:rPr>
                <w:sz w:val="27"/>
                <w:szCs w:val="27"/>
              </w:rPr>
              <w:t>293 386,9</w:t>
            </w:r>
            <w:r>
              <w:rPr>
                <w:sz w:val="27"/>
                <w:szCs w:val="27"/>
              </w:rPr>
              <w:t xml:space="preserve"> тыс. рублей, в том числе: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12 476,5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2 716,9 тыс. рублей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13 450,2 тыс. рублей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2 490,0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51 783,5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51 783,5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2024 год – 51 783,5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>
              <w:rPr>
                <w:sz w:val="27"/>
                <w:szCs w:val="27"/>
              </w:rPr>
              <w:t>106 902,8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 бюджетов субъектов Российской Федерации  - </w:t>
            </w:r>
            <w:r>
              <w:rPr>
                <w:sz w:val="27"/>
                <w:szCs w:val="27"/>
              </w:rPr>
              <w:t>82 200,8</w:t>
            </w:r>
            <w:r>
              <w:rPr>
                <w:sz w:val="27"/>
                <w:szCs w:val="27"/>
              </w:rPr>
              <w:t xml:space="preserve"> тыс. рублей, в том числе: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3 119,1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3 921,4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3 385,6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 xml:space="preserve">   652,1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13 982,5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13 982,5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13 982,5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>
              <w:rPr>
                <w:sz w:val="27"/>
                <w:szCs w:val="27"/>
              </w:rPr>
              <w:t>29 175,1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 местного бюджета 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10 684</w:t>
            </w:r>
            <w:r>
              <w:rPr>
                <w:sz w:val="27"/>
                <w:szCs w:val="27"/>
              </w:rPr>
              <w:t xml:space="preserve"> тыс. рублей, в том числе: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458,7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195,2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495,1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 xml:space="preserve">  92,4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1 955,0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1 955,0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1 955,0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</w:t>
            </w:r>
            <w:r>
              <w:rPr>
                <w:sz w:val="27"/>
                <w:szCs w:val="27"/>
              </w:rPr>
              <w:t xml:space="preserve"> 3 577,6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из внебюджетных источников 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-592 560,7 тыс. рублей, в том числе: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10 036,7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3 682,3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19 397,4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 xml:space="preserve">  2 322,3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125 767,7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125 767,7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125 767,7 тыс. рублей;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>
              <w:rPr>
                <w:sz w:val="27"/>
                <w:szCs w:val="27"/>
              </w:rPr>
              <w:t>263 376,8</w:t>
            </w:r>
            <w:r>
              <w:rPr>
                <w:sz w:val="27"/>
                <w:szCs w:val="27"/>
              </w:rPr>
              <w:t xml:space="preserve"> тыс. рублей</w:t>
            </w:r>
          </w:p>
          <w:p w:rsidR="0001561A" w:rsidRDefault="0001561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 носят прогнозный характер и подлежат ежегодной корректировке исходя из возможностей бюджета</w:t>
            </w:r>
          </w:p>
        </w:tc>
      </w:tr>
    </w:tbl>
    <w:p w:rsidR="0001561A" w:rsidRDefault="00F621DD" w:rsidP="00F621DD">
      <w:pPr>
        <w:tabs>
          <w:tab w:val="left" w:pos="422"/>
        </w:tabs>
        <w:jc w:val="both"/>
        <w:rPr>
          <w:rFonts w:cs="Times New Roman"/>
        </w:rPr>
      </w:pPr>
      <w:r>
        <w:rPr>
          <w:rFonts w:cs="Times New Roman"/>
          <w:sz w:val="27"/>
          <w:szCs w:val="27"/>
        </w:rPr>
        <w:lastRenderedPageBreak/>
        <w:tab/>
      </w:r>
      <w:r w:rsidRPr="00F621DD">
        <w:rPr>
          <w:rFonts w:cs="Times New Roman"/>
        </w:rPr>
        <w:t xml:space="preserve">2) </w:t>
      </w:r>
      <w:r>
        <w:rPr>
          <w:rFonts w:cs="Times New Roman"/>
        </w:rPr>
        <w:t xml:space="preserve">в разделе </w:t>
      </w:r>
      <w:r>
        <w:rPr>
          <w:rFonts w:cs="Times New Roman"/>
          <w:lang w:val="en-US"/>
        </w:rPr>
        <w:t>VII</w:t>
      </w:r>
      <w:r>
        <w:rPr>
          <w:rFonts w:cs="Times New Roman"/>
        </w:rPr>
        <w:t xml:space="preserve">. «Механизм реализации муниципальной программы» слова Министерством спорта, молодежной политики и туризма Республики Мордовия» заменить  словами «Министерством спорта и молодежной политики Республики Мордовия»; </w:t>
      </w:r>
    </w:p>
    <w:p w:rsidR="00F621DD" w:rsidRPr="00F621DD" w:rsidRDefault="00F621DD" w:rsidP="00F621DD">
      <w:pPr>
        <w:tabs>
          <w:tab w:val="left" w:pos="422"/>
        </w:tabs>
        <w:jc w:val="both"/>
        <w:rPr>
          <w:rFonts w:cs="Times New Roman"/>
        </w:rPr>
      </w:pPr>
      <w:r>
        <w:rPr>
          <w:rFonts w:cs="Times New Roman"/>
        </w:rPr>
        <w:t xml:space="preserve">       3) </w:t>
      </w:r>
      <w:r w:rsidR="00FC0EEA">
        <w:rPr>
          <w:rFonts w:cs="Times New Roman"/>
        </w:rPr>
        <w:t xml:space="preserve">таблицу 2 раздела </w:t>
      </w:r>
      <w:r w:rsidR="00FC0EEA">
        <w:rPr>
          <w:rFonts w:cs="Times New Roman"/>
          <w:lang w:val="en-US"/>
        </w:rPr>
        <w:t>VIII</w:t>
      </w:r>
      <w:r w:rsidR="00FC0EEA">
        <w:rPr>
          <w:rFonts w:cs="Times New Roman"/>
        </w:rPr>
        <w:t>.</w:t>
      </w:r>
      <w:r w:rsidR="00FC0EEA">
        <w:rPr>
          <w:rFonts w:cs="Times New Roman"/>
        </w:rPr>
        <w:t xml:space="preserve"> «Целевые показатели (индикаторы) эффективности реализации муниципальной программы, этапам ее реализации, оценка влияния внешних факторов и условий на их достижения» изложить в следующей редакции: </w:t>
      </w:r>
    </w:p>
    <w:p w:rsidR="00F621DD" w:rsidRPr="00F621DD" w:rsidRDefault="00F621DD" w:rsidP="00F621DD">
      <w:pPr>
        <w:rPr>
          <w:rFonts w:cs="Times New Roman"/>
        </w:rPr>
      </w:pPr>
      <w:r w:rsidRPr="00F621DD">
        <w:rPr>
          <w:rFonts w:cs="Times New Roman"/>
        </w:rPr>
        <w:t>«Таблица 2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1179"/>
        <w:gridCol w:w="948"/>
        <w:gridCol w:w="992"/>
        <w:gridCol w:w="851"/>
        <w:gridCol w:w="992"/>
        <w:gridCol w:w="851"/>
        <w:gridCol w:w="720"/>
      </w:tblGrid>
      <w:tr w:rsidR="00F621DD" w:rsidRPr="003E33BD" w:rsidTr="00C625C6">
        <w:tc>
          <w:tcPr>
            <w:tcW w:w="468" w:type="dxa"/>
            <w:vMerge w:val="restart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 xml:space="preserve">N </w:t>
            </w:r>
            <w:proofErr w:type="gramStart"/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</w:t>
            </w:r>
            <w:proofErr w:type="gramEnd"/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/п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Наименование целевого показателя (индикатора)</w:t>
            </w:r>
          </w:p>
        </w:tc>
        <w:tc>
          <w:tcPr>
            <w:tcW w:w="1179" w:type="dxa"/>
            <w:vMerge w:val="restart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Единица измерения</w:t>
            </w:r>
          </w:p>
        </w:tc>
        <w:tc>
          <w:tcPr>
            <w:tcW w:w="5354" w:type="dxa"/>
            <w:gridSpan w:val="6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Значения показателей</w:t>
            </w:r>
          </w:p>
        </w:tc>
      </w:tr>
      <w:tr w:rsidR="00F621DD" w:rsidRPr="003E33BD" w:rsidTr="00C625C6">
        <w:tc>
          <w:tcPr>
            <w:tcW w:w="468" w:type="dxa"/>
            <w:vMerge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48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2024</w:t>
            </w:r>
          </w:p>
        </w:tc>
        <w:tc>
          <w:tcPr>
            <w:tcW w:w="720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2025</w:t>
            </w:r>
          </w:p>
        </w:tc>
      </w:tr>
      <w:tr w:rsidR="00F621DD" w:rsidRPr="003E33BD" w:rsidTr="00C625C6">
        <w:tc>
          <w:tcPr>
            <w:tcW w:w="468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9</w:t>
            </w:r>
          </w:p>
        </w:tc>
      </w:tr>
      <w:tr w:rsidR="00F621DD" w:rsidRPr="003E33BD" w:rsidTr="00C625C6">
        <w:tc>
          <w:tcPr>
            <w:tcW w:w="468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1.</w:t>
            </w:r>
          </w:p>
        </w:tc>
        <w:tc>
          <w:tcPr>
            <w:tcW w:w="2475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Молодые семьи, планируемые улучшить жилищные условия с помощью социальной выплаты </w:t>
            </w:r>
          </w:p>
        </w:tc>
        <w:tc>
          <w:tcPr>
            <w:tcW w:w="1179" w:type="dxa"/>
            <w:shd w:val="clear" w:color="auto" w:fill="auto"/>
          </w:tcPr>
          <w:p w:rsidR="00F621DD" w:rsidRPr="003E33BD" w:rsidRDefault="00F621DD" w:rsidP="00C625C6">
            <w:pPr>
              <w:widowControl/>
              <w:suppressAutoHyphens w:val="0"/>
              <w:spacing w:line="210" w:lineRule="atLeast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E33BD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количество молодых семей</w:t>
            </w:r>
          </w:p>
        </w:tc>
        <w:tc>
          <w:tcPr>
            <w:tcW w:w="948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F621DD" w:rsidRPr="003E33BD" w:rsidRDefault="00F621DD" w:rsidP="00C62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</w:tbl>
    <w:p w:rsidR="00FF09DA" w:rsidRDefault="00FC0EEA" w:rsidP="00FF09DA">
      <w:pPr>
        <w:jc w:val="both"/>
        <w:rPr>
          <w:rFonts w:cs="Times New Roman"/>
        </w:rPr>
      </w:pPr>
      <w:r>
        <w:rPr>
          <w:rFonts w:cs="Times New Roman"/>
        </w:rPr>
        <w:t xml:space="preserve">      4</w:t>
      </w:r>
      <w:r>
        <w:rPr>
          <w:rFonts w:cs="Times New Roman"/>
        </w:rPr>
        <w:t>)</w:t>
      </w:r>
      <w:r>
        <w:rPr>
          <w:rFonts w:cs="Times New Roman"/>
        </w:rPr>
        <w:t xml:space="preserve"> в разделе </w:t>
      </w:r>
      <w:r w:rsidR="00375D01">
        <w:rPr>
          <w:rFonts w:cs="Times New Roman"/>
          <w:lang w:val="en-US"/>
        </w:rPr>
        <w:t>IX</w:t>
      </w:r>
      <w:r w:rsidR="00375D01">
        <w:rPr>
          <w:rFonts w:cs="Times New Roman"/>
        </w:rPr>
        <w:t>. «Ресурсное обеспечение муниципальной программы» в абзаце втором цифры «1 060 890,2» заменить цифрами «2 124 780,6»</w:t>
      </w:r>
      <w:r w:rsidR="00FF09DA">
        <w:rPr>
          <w:rFonts w:cs="Times New Roman"/>
        </w:rPr>
        <w:t>, цифры «292 622,6» заменить цифрами «293 386,9», цифры «81 998,0» заменить цифрами «82 200,8», цифры «10 655,6» заменить цифрами «10 684,0», цифры «675 614,0» заменить цифрами «676 118,6»;</w:t>
      </w:r>
    </w:p>
    <w:p w:rsidR="00FF09DA" w:rsidRDefault="00FF09DA" w:rsidP="00FF09DA">
      <w:pPr>
        <w:jc w:val="both"/>
        <w:rPr>
          <w:rFonts w:cs="Times New Roman"/>
        </w:rPr>
      </w:pPr>
      <w:r>
        <w:rPr>
          <w:rFonts w:cs="Times New Roman"/>
        </w:rPr>
        <w:t xml:space="preserve">      5) Приложение №1 к муниципальной программе «Обеспечение жильем молодых семей </w:t>
      </w:r>
      <w:proofErr w:type="spellStart"/>
      <w:r>
        <w:rPr>
          <w:rFonts w:cs="Times New Roman"/>
        </w:rPr>
        <w:t>Ковылкинского</w:t>
      </w:r>
      <w:proofErr w:type="spellEnd"/>
      <w:r>
        <w:rPr>
          <w:rFonts w:cs="Times New Roman"/>
        </w:rPr>
        <w:t xml:space="preserve"> муниципального района на 2018-2025 годы» изложить в следующей редакции:</w:t>
      </w:r>
    </w:p>
    <w:p w:rsidR="0001561A" w:rsidRPr="00C62136" w:rsidRDefault="0001561A" w:rsidP="0001561A">
      <w:pPr>
        <w:autoSpaceDE w:val="0"/>
        <w:jc w:val="right"/>
        <w:rPr>
          <w:bCs/>
        </w:rPr>
      </w:pPr>
      <w:r w:rsidRPr="00C62136">
        <w:rPr>
          <w:bCs/>
        </w:rPr>
        <w:t>Приложение N 1</w:t>
      </w:r>
      <w:r w:rsidRPr="00C62136">
        <w:rPr>
          <w:bCs/>
        </w:rPr>
        <w:br/>
        <w:t>к муниципальной программе</w:t>
      </w:r>
    </w:p>
    <w:p w:rsidR="0001561A" w:rsidRPr="00C62136" w:rsidRDefault="0001561A" w:rsidP="0001561A">
      <w:pPr>
        <w:jc w:val="right"/>
        <w:rPr>
          <w:rFonts w:cs="Times New Roman"/>
        </w:rPr>
      </w:pPr>
      <w:r w:rsidRPr="00C62136">
        <w:rPr>
          <w:bCs/>
        </w:rPr>
        <w:t xml:space="preserve"> «Обеспечение</w:t>
      </w:r>
      <w:r w:rsidRPr="00C62136">
        <w:rPr>
          <w:rFonts w:cs="Times New Roman"/>
        </w:rPr>
        <w:t xml:space="preserve"> жильем молодых семей </w:t>
      </w:r>
      <w:proofErr w:type="spellStart"/>
      <w:r w:rsidRPr="00C62136">
        <w:rPr>
          <w:rFonts w:cs="Times New Roman"/>
        </w:rPr>
        <w:t>Ковылкинского</w:t>
      </w:r>
      <w:proofErr w:type="spellEnd"/>
      <w:r w:rsidRPr="00C62136">
        <w:rPr>
          <w:rFonts w:cs="Times New Roman"/>
        </w:rPr>
        <w:t xml:space="preserve"> </w:t>
      </w:r>
    </w:p>
    <w:p w:rsidR="0001561A" w:rsidRPr="00C62136" w:rsidRDefault="0001561A" w:rsidP="0001561A">
      <w:pPr>
        <w:jc w:val="right"/>
        <w:rPr>
          <w:rFonts w:cs="Times New Roman"/>
        </w:rPr>
      </w:pPr>
      <w:r w:rsidRPr="00C62136">
        <w:rPr>
          <w:rFonts w:cs="Times New Roman"/>
        </w:rPr>
        <w:t>муниципального района на 2018-2025 годы»</w:t>
      </w:r>
    </w:p>
    <w:p w:rsidR="0001561A" w:rsidRDefault="0001561A" w:rsidP="0001561A">
      <w:pPr>
        <w:jc w:val="center"/>
        <w:rPr>
          <w:rFonts w:cs="Times New Roman"/>
          <w:spacing w:val="1"/>
          <w:shd w:val="clear" w:color="auto" w:fill="FFFFFF"/>
        </w:rPr>
      </w:pPr>
      <w:r w:rsidRPr="0001561A">
        <w:rPr>
          <w:rFonts w:cs="Times New Roman"/>
          <w:spacing w:val="1"/>
          <w:shd w:val="clear" w:color="auto" w:fill="FFFFFF"/>
        </w:rPr>
        <w:t xml:space="preserve">Ресурсное обеспечение и прогнозная (справочная) оценка расходов </w:t>
      </w:r>
    </w:p>
    <w:p w:rsidR="0001561A" w:rsidRDefault="0001561A" w:rsidP="0001561A">
      <w:pPr>
        <w:jc w:val="center"/>
        <w:rPr>
          <w:rFonts w:cs="Times New Roman"/>
          <w:spacing w:val="1"/>
          <w:shd w:val="clear" w:color="auto" w:fill="FFFFFF"/>
        </w:rPr>
      </w:pPr>
      <w:r w:rsidRPr="0001561A">
        <w:rPr>
          <w:rFonts w:cs="Times New Roman"/>
          <w:spacing w:val="1"/>
          <w:shd w:val="clear" w:color="auto" w:fill="FFFFFF"/>
        </w:rPr>
        <w:t xml:space="preserve">федерального, республиканского и местного бюджетов на реализацию </w:t>
      </w:r>
    </w:p>
    <w:p w:rsidR="0001561A" w:rsidRDefault="0001561A" w:rsidP="0001561A">
      <w:pPr>
        <w:jc w:val="center"/>
        <w:rPr>
          <w:rFonts w:cs="Times New Roman"/>
        </w:rPr>
      </w:pPr>
      <w:r w:rsidRPr="0001561A">
        <w:rPr>
          <w:rFonts w:cs="Times New Roman"/>
          <w:bCs/>
        </w:rPr>
        <w:t xml:space="preserve">муниципальной программы </w:t>
      </w:r>
      <w:r w:rsidRPr="0001561A">
        <w:rPr>
          <w:bCs/>
        </w:rPr>
        <w:t>«Обеспечение</w:t>
      </w:r>
      <w:r w:rsidRPr="0001561A">
        <w:rPr>
          <w:rFonts w:cs="Times New Roman"/>
        </w:rPr>
        <w:t xml:space="preserve"> жильем молодых семей </w:t>
      </w:r>
    </w:p>
    <w:p w:rsidR="0001561A" w:rsidRPr="008E5EC7" w:rsidRDefault="0001561A" w:rsidP="0001561A">
      <w:pPr>
        <w:jc w:val="center"/>
        <w:rPr>
          <w:b/>
          <w:bCs/>
        </w:rPr>
      </w:pPr>
      <w:proofErr w:type="spellStart"/>
      <w:r w:rsidRPr="0001561A">
        <w:rPr>
          <w:rFonts w:cs="Times New Roman"/>
        </w:rPr>
        <w:t>Ковылкинского</w:t>
      </w:r>
      <w:proofErr w:type="spellEnd"/>
      <w:r w:rsidRPr="0001561A">
        <w:rPr>
          <w:rFonts w:cs="Times New Roman"/>
        </w:rPr>
        <w:t xml:space="preserve"> муниципального района на 2018-2025 годы</w:t>
      </w:r>
    </w:p>
    <w:tbl>
      <w:tblPr>
        <w:tblW w:w="977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0"/>
        <w:gridCol w:w="995"/>
        <w:gridCol w:w="993"/>
        <w:gridCol w:w="992"/>
        <w:gridCol w:w="850"/>
        <w:gridCol w:w="913"/>
        <w:gridCol w:w="788"/>
        <w:gridCol w:w="983"/>
      </w:tblGrid>
      <w:tr w:rsidR="0001561A" w:rsidTr="00A93DB3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2018 </w:t>
            </w:r>
            <w:r w:rsidRPr="00A93DB3">
              <w:rPr>
                <w:rFonts w:cs="Times New Roman"/>
                <w:sz w:val="14"/>
                <w:szCs w:val="14"/>
              </w:rPr>
              <w:t>–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 2025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годы </w:t>
            </w:r>
            <w:r w:rsidRPr="00A93DB3">
              <w:rPr>
                <w:rFonts w:cs="Times New Roman"/>
                <w:sz w:val="14"/>
                <w:szCs w:val="14"/>
              </w:rPr>
              <w:t>–</w:t>
            </w:r>
            <w:r w:rsidRPr="00A93DB3">
              <w:rPr>
                <w:rFonts w:cs="Times New Roman"/>
                <w:sz w:val="14"/>
                <w:szCs w:val="14"/>
              </w:rPr>
              <w:t xml:space="preserve">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750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pStyle w:val="a3"/>
              <w:snapToGrid w:val="0"/>
              <w:jc w:val="right"/>
              <w:rPr>
                <w:rFonts w:cs="Times New Roman"/>
                <w:sz w:val="14"/>
                <w:szCs w:val="14"/>
              </w:rPr>
            </w:pPr>
            <w:proofErr w:type="spellStart"/>
            <w:r w:rsidRPr="00A93DB3">
              <w:rPr>
                <w:rFonts w:cs="Times New Roman"/>
                <w:sz w:val="14"/>
                <w:szCs w:val="14"/>
              </w:rPr>
              <w:t>тыс</w:t>
            </w:r>
            <w:proofErr w:type="gramStart"/>
            <w:r w:rsidRPr="00A93DB3">
              <w:rPr>
                <w:rFonts w:cs="Times New Roman"/>
                <w:sz w:val="14"/>
                <w:szCs w:val="14"/>
              </w:rPr>
              <w:t>.р</w:t>
            </w:r>
            <w:proofErr w:type="gramEnd"/>
            <w:r w:rsidRPr="00A93DB3">
              <w:rPr>
                <w:rFonts w:cs="Times New Roman"/>
                <w:sz w:val="14"/>
                <w:szCs w:val="14"/>
              </w:rPr>
              <w:t>уб</w:t>
            </w:r>
            <w:proofErr w:type="spellEnd"/>
            <w:r w:rsidRPr="00A93DB3">
              <w:rPr>
                <w:rFonts w:cs="Times New Roman"/>
                <w:sz w:val="14"/>
                <w:szCs w:val="14"/>
              </w:rPr>
              <w:t>.</w:t>
            </w:r>
          </w:p>
        </w:tc>
      </w:tr>
      <w:tr w:rsidR="0001561A" w:rsidTr="00A93DB3"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2018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2019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2020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2021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61A" w:rsidRPr="00A93DB3" w:rsidRDefault="0001561A" w:rsidP="0001561A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2022 </w:t>
            </w:r>
          </w:p>
          <w:p w:rsidR="0001561A" w:rsidRPr="00A93DB3" w:rsidRDefault="0001561A" w:rsidP="0001561A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од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2023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2024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 xml:space="preserve">2025 </w:t>
            </w:r>
          </w:p>
          <w:p w:rsidR="0001561A" w:rsidRPr="00A93DB3" w:rsidRDefault="0001561A" w:rsidP="00C625C6">
            <w:pPr>
              <w:autoSpaceDE w:val="0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год</w:t>
            </w:r>
          </w:p>
        </w:tc>
      </w:tr>
      <w:tr w:rsidR="00F621DD" w:rsidTr="00A93DB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Всего: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1062390,3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26 091,0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10 515,8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36 728,3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5 557,2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193488,7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193488,7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193488,7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403032,3</w:t>
            </w:r>
          </w:p>
        </w:tc>
      </w:tr>
      <w:tr w:rsidR="00F621DD" w:rsidTr="00A93DB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autoSpaceDE w:val="0"/>
              <w:snapToGrid w:val="0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293386,9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12 476,5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2 716,9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13 450,2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2 490,0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51783,5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51783,5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51783,5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106902,8</w:t>
            </w:r>
          </w:p>
        </w:tc>
      </w:tr>
      <w:tr w:rsidR="00F621DD" w:rsidTr="00A93DB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autoSpaceDE w:val="0"/>
              <w:snapToGrid w:val="0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 xml:space="preserve">Средства бюджетов субъектов Российской Федерации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82200,8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3 119,1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3 921,4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3 385,6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652,1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13982,5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13982,5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13982,5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29175,1</w:t>
            </w:r>
          </w:p>
        </w:tc>
      </w:tr>
      <w:tr w:rsidR="00F621DD" w:rsidTr="00A93DB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autoSpaceDE w:val="0"/>
              <w:snapToGrid w:val="0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Средства местного бюджета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10684,0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458,7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195,2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495,1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92,4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1955,0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1955,0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1955,0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3577,6</w:t>
            </w:r>
          </w:p>
        </w:tc>
      </w:tr>
      <w:tr w:rsidR="00F621DD" w:rsidTr="00A93DB3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autoSpaceDE w:val="0"/>
              <w:snapToGrid w:val="0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Внебюджетные средства (собственные и заемные средства молодых семей) - прочие нужды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676118,6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10 036,7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3 682,3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19 397,4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2 322,3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125767,7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125767,7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rFonts w:cs="Times New Roman"/>
                <w:sz w:val="14"/>
                <w:szCs w:val="14"/>
              </w:rPr>
            </w:pPr>
            <w:r w:rsidRPr="00A93DB3">
              <w:rPr>
                <w:rFonts w:cs="Times New Roman"/>
                <w:sz w:val="14"/>
                <w:szCs w:val="14"/>
              </w:rPr>
              <w:t>125767,7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1DD" w:rsidRPr="00A93DB3" w:rsidRDefault="00F621DD" w:rsidP="00C625C6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A93DB3">
              <w:rPr>
                <w:sz w:val="14"/>
                <w:szCs w:val="14"/>
              </w:rPr>
              <w:t>263376,8</w:t>
            </w:r>
          </w:p>
        </w:tc>
      </w:tr>
    </w:tbl>
    <w:p w:rsidR="0001561A" w:rsidRDefault="0001561A" w:rsidP="0001561A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»</w:t>
      </w:r>
    </w:p>
    <w:p w:rsidR="0001561A" w:rsidRDefault="0001561A" w:rsidP="0001561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</w:t>
      </w:r>
      <w:r>
        <w:rPr>
          <w:sz w:val="27"/>
          <w:szCs w:val="27"/>
        </w:rPr>
        <w:t xml:space="preserve">первого </w:t>
      </w:r>
      <w:r>
        <w:rPr>
          <w:sz w:val="27"/>
          <w:szCs w:val="27"/>
        </w:rPr>
        <w:t xml:space="preserve">заместителя Главы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</w:t>
      </w:r>
      <w:r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В.М.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Беляева.</w:t>
      </w:r>
    </w:p>
    <w:p w:rsidR="0001561A" w:rsidRDefault="0001561A" w:rsidP="0001561A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 Настоящее постановление вступает в силу со дня его подписания и подлежит официальному опубликованию на официальном сайте органов местного самоуправления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 в сети "Интернет" по адресу: www.kovilkino13.ru.</w:t>
      </w:r>
    </w:p>
    <w:p w:rsidR="0001561A" w:rsidRDefault="0001561A" w:rsidP="0001561A">
      <w:pPr>
        <w:rPr>
          <w:rFonts w:cs="Times New Roman"/>
          <w:sz w:val="27"/>
          <w:szCs w:val="27"/>
        </w:rPr>
      </w:pPr>
    </w:p>
    <w:p w:rsidR="0001561A" w:rsidRDefault="0001561A" w:rsidP="0001561A">
      <w:pPr>
        <w:rPr>
          <w:rFonts w:cs="Times New Roman"/>
        </w:rPr>
      </w:pPr>
    </w:p>
    <w:p w:rsidR="0001561A" w:rsidRDefault="0001561A" w:rsidP="00015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Ковылкинского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01561A" w:rsidRDefault="0001561A" w:rsidP="00015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</w:t>
      </w:r>
      <w:r>
        <w:rPr>
          <w:b/>
          <w:sz w:val="28"/>
          <w:szCs w:val="28"/>
        </w:rPr>
        <w:t xml:space="preserve">И.Н. </w:t>
      </w:r>
      <w:proofErr w:type="spellStart"/>
      <w:r>
        <w:rPr>
          <w:b/>
          <w:sz w:val="28"/>
          <w:szCs w:val="28"/>
        </w:rPr>
        <w:t>Бутяйкин</w:t>
      </w:r>
      <w:bookmarkStart w:id="0" w:name="_GoBack"/>
      <w:bookmarkEnd w:id="0"/>
      <w:proofErr w:type="spellEnd"/>
    </w:p>
    <w:sectPr w:rsidR="0001561A" w:rsidSect="00A93DB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D"/>
    <w:rsid w:val="0001561A"/>
    <w:rsid w:val="00347DAD"/>
    <w:rsid w:val="00375D01"/>
    <w:rsid w:val="004D5461"/>
    <w:rsid w:val="00A93DB3"/>
    <w:rsid w:val="00F621DD"/>
    <w:rsid w:val="00FC0EEA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61A"/>
    <w:pPr>
      <w:suppressLineNumbers/>
    </w:pPr>
    <w:rPr>
      <w:kern w:val="1"/>
    </w:rPr>
  </w:style>
  <w:style w:type="paragraph" w:styleId="a4">
    <w:name w:val="List Paragraph"/>
    <w:basedOn w:val="a"/>
    <w:uiPriority w:val="34"/>
    <w:qFormat/>
    <w:rsid w:val="00A93DB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61A"/>
    <w:pPr>
      <w:suppressLineNumbers/>
    </w:pPr>
    <w:rPr>
      <w:kern w:val="1"/>
    </w:rPr>
  </w:style>
  <w:style w:type="paragraph" w:styleId="a4">
    <w:name w:val="List Paragraph"/>
    <w:basedOn w:val="a"/>
    <w:uiPriority w:val="34"/>
    <w:qFormat/>
    <w:rsid w:val="00A93D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2025-05-26T05:31:00Z</dcterms:created>
  <dcterms:modified xsi:type="dcterms:W3CDTF">2025-05-26T06:21:00Z</dcterms:modified>
</cp:coreProperties>
</file>